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F18" w:rsidRDefault="00BE3F18" w:rsidP="00BE3F18">
      <w:pPr>
        <w:autoSpaceDE w:val="0"/>
        <w:autoSpaceDN w:val="0"/>
        <w:adjustRightInd w:val="0"/>
        <w:spacing w:after="0" w:line="240" w:lineRule="auto"/>
        <w:jc w:val="both"/>
      </w:pPr>
      <w:bookmarkStart w:id="0" w:name="_Toc28345866"/>
    </w:p>
    <w:p w:rsidR="00EE0615" w:rsidRDefault="00BE3F18" w:rsidP="00BE3F18">
      <w:pPr>
        <w:autoSpaceDE w:val="0"/>
        <w:autoSpaceDN w:val="0"/>
        <w:adjustRightInd w:val="0"/>
        <w:spacing w:after="0" w:line="240" w:lineRule="auto"/>
        <w:jc w:val="both"/>
      </w:pPr>
      <w:r w:rsidRPr="00BE3F18">
        <w:t xml:space="preserve">PRACA SEZONOWA Z EURES - </w:t>
      </w:r>
      <w:r w:rsidR="00EE0615">
        <w:t>Europejski Urząd ds. Pracy (ELA) rozpoczął kampanię informacyjną pod nazwą Rights for all seasons / Prawa przez cały ro</w:t>
      </w:r>
      <w:r>
        <w:t xml:space="preserve">k. Zwraca ona uwagę na potrzebę </w:t>
      </w:r>
      <w:r w:rsidR="00EE0615">
        <w:t>rozpowszechniania informacji nt. sprawiedliwych i bezpiecznych warunków pracy dla pracowników sezonowych, którzy zatrudniani są w krajach UE.</w:t>
      </w:r>
    </w:p>
    <w:p w:rsidR="00BE3F18" w:rsidRDefault="00BE3F18" w:rsidP="00BE3F18">
      <w:pPr>
        <w:autoSpaceDE w:val="0"/>
        <w:autoSpaceDN w:val="0"/>
        <w:adjustRightInd w:val="0"/>
        <w:spacing w:after="0" w:line="240" w:lineRule="auto"/>
        <w:jc w:val="both"/>
      </w:pPr>
    </w:p>
    <w:p w:rsidR="00EE0615" w:rsidRDefault="00EE0615" w:rsidP="00BF538B">
      <w:pPr>
        <w:jc w:val="both"/>
      </w:pPr>
      <w:r>
        <w:t>Szacuje się, że każdego roku nawet 850 tys. obywateli UE podejmuje pracę sezonową poza swoim krajem pochodzenia. Mobilni pracownicy sezonowi mają takie samo prawo do uczciwych warunków pracy oraz takie same prawa pracownicze i socjalne jak pracownicy lokalni. Tymczasowy charakter ich pracy powoduje, że bardziej narażeni są na niepewne warunki pracy i życia, oszustwa oraz nadużycia. Pandemia Covid-19 pogorszyła warunki pracy pracowników sezonowych i naraziła ich na większe ryzyko choroby. </w:t>
      </w:r>
    </w:p>
    <w:p w:rsidR="00EE0615" w:rsidRDefault="00EE0615" w:rsidP="00BF538B">
      <w:pPr>
        <w:jc w:val="both"/>
        <w:rPr>
          <w:i/>
          <w:iCs/>
        </w:rPr>
      </w:pPr>
      <w:r>
        <w:t>Zgodnie z danymi ra</w:t>
      </w:r>
      <w:r w:rsidR="00BF538B">
        <w:t>portu Komisji Europejskiej nt. m</w:t>
      </w:r>
      <w:r>
        <w:t xml:space="preserve">obilności pracowników w UE w 2019 r.: </w:t>
      </w:r>
      <w:r>
        <w:rPr>
          <w:i/>
          <w:iCs/>
        </w:rPr>
        <w:t xml:space="preserve">wśród krajów wysyłających pracowników - 58% przemieszczających się osób pochodzi z Rumunii, </w:t>
      </w:r>
      <w:r>
        <w:rPr>
          <w:b/>
          <w:bCs/>
          <w:i/>
          <w:iCs/>
        </w:rPr>
        <w:t>Polski</w:t>
      </w:r>
      <w:r>
        <w:rPr>
          <w:i/>
          <w:iCs/>
        </w:rPr>
        <w:t>, Włoch, Portugalii i Bułgarii.</w:t>
      </w:r>
    </w:p>
    <w:p w:rsidR="0077602A" w:rsidRDefault="0077602A" w:rsidP="0077602A">
      <w:pPr>
        <w:jc w:val="both"/>
      </w:pPr>
      <w:r w:rsidRPr="00E72F5B">
        <w:rPr>
          <w:bdr w:val="none" w:sz="0" w:space="0" w:color="auto" w:frame="1"/>
        </w:rPr>
        <w:t>Otwarte granice i możliwość wyjazdu do pracy do innego kraju to dla wielu poszukujących pracy szansa, ale jednocześnie duże zagrożenie. Warto więc przygotować się dobrze do takich wyjazdów. Na różnego typu zagrożenia szczególnie narażeni są młodzi ludzie, dla których taki wyjazd to niejednokrotnie próba podjęcia pierw</w:t>
      </w:r>
      <w:r>
        <w:rPr>
          <w:bdr w:val="none" w:sz="0" w:space="0" w:color="auto" w:frame="1"/>
        </w:rPr>
        <w:t>szego (sezonowego) zatrudnienia</w:t>
      </w:r>
      <w:r>
        <w:t>. Decyzja o podjęciu pracy w innym kraju powinna być poprzedzona zapoznaniem się z informacjami o warunkach życia i pracy w wybranym kraju. Sieć EURES prowadzi bazę informacji o krajach członkowskich Unii Europejskiej oraz krajach Europejskiego Stowarzyszenia Wolnego Handlu (UE i EFTA).</w:t>
      </w:r>
    </w:p>
    <w:p w:rsidR="0077602A" w:rsidRDefault="0077602A" w:rsidP="0077602A">
      <w:pPr>
        <w:jc w:val="both"/>
      </w:pPr>
      <w:r w:rsidRPr="004B6040">
        <w:t>EURES (Europejskie Służby Zatrudnienia) jest siecią współpracy publicznych służb zatrudnienia, wspierającą mobilność w dziedzinie zatrudnienia na poziomie międzynarodowym i transgranicznym, w krajach Unii Europejskiej oraz Norwegii, Islandii, Lichtensteinie i Szwajcarii. Sieć EURES ułatwia podejmowanie pra</w:t>
      </w:r>
      <w:r>
        <w:t>cy w dowolnym państwie UE/EFTA a k</w:t>
      </w:r>
      <w:r w:rsidRPr="004B6040">
        <w:t>orzystan</w:t>
      </w:r>
      <w:r>
        <w:t>ie z usług EURES jest bezpłatne oraz nie wymaga rejestracji w urzędzie pracy.</w:t>
      </w:r>
    </w:p>
    <w:p w:rsidR="0077602A" w:rsidRDefault="0077602A" w:rsidP="0077602A">
      <w:pPr>
        <w:jc w:val="both"/>
      </w:pPr>
      <w:r>
        <w:t>K</w:t>
      </w:r>
      <w:r w:rsidRPr="0077602A">
        <w:t>ampania informacyjna</w:t>
      </w:r>
      <w:r>
        <w:t>, która jest realizowana przez sieć EURES</w:t>
      </w:r>
      <w:r w:rsidRPr="0077602A">
        <w:t xml:space="preserve"> przyczyni się do podniesienia świadomości</w:t>
      </w:r>
      <w:r>
        <w:t xml:space="preserve"> oby</w:t>
      </w:r>
      <w:r w:rsidRPr="0077602A">
        <w:t>wateli Polski nt. ich praw podczas wykonywan</w:t>
      </w:r>
      <w:r w:rsidR="00BE3F18">
        <w:t>a praz sezonowych za granicą, w </w:t>
      </w:r>
      <w:r w:rsidRPr="0077602A">
        <w:t>szczególności</w:t>
      </w:r>
      <w:r>
        <w:t xml:space="preserve"> </w:t>
      </w:r>
      <w:r w:rsidRPr="0077602A">
        <w:t>w rolnictwie, w państwach członkowskich UE</w:t>
      </w:r>
      <w:r>
        <w:rPr>
          <w:rFonts w:ascii="ArialMT" w:hAnsi="ArialMT" w:cs="ArialMT"/>
        </w:rPr>
        <w:t>.</w:t>
      </w:r>
    </w:p>
    <w:p w:rsidR="00EE0615" w:rsidRDefault="003C2AD5" w:rsidP="00BF538B">
      <w:pPr>
        <w:jc w:val="both"/>
      </w:pPr>
      <w:r>
        <w:t>Obywatele wszystkich państw UE i EFTA - w tym Polacy - podejmujący legalną pracę w innym państwie członkowskim, mają takie same prawa i obowiązki jak pracownicy lokalni. Jakakolwiek dyskryminacja ze względu na obywatelstwo jest zakazana.</w:t>
      </w:r>
    </w:p>
    <w:p w:rsidR="004B6040" w:rsidRPr="004B6040" w:rsidRDefault="004B6040" w:rsidP="00BF538B">
      <w:pPr>
        <w:jc w:val="both"/>
      </w:pPr>
      <w:r w:rsidRPr="004B6040">
        <w:t>Osoby poszukujące pracy oraz pracodawcy mogą skorzystać z pomocy doradców EURES we wszystkich krajach UE/EFTA, którzy posiadają specjalistyczną wiedzę i mogą doradzić jak podjąć bezpieczną pracę za granicą.</w:t>
      </w:r>
    </w:p>
    <w:p w:rsidR="00EE0615" w:rsidRDefault="004B6040" w:rsidP="00BF538B">
      <w:pPr>
        <w:jc w:val="both"/>
      </w:pPr>
      <w:r>
        <w:t>Szczególnie zachęcamy do zapoznania się ze</w:t>
      </w:r>
      <w:r w:rsidRPr="004B6040">
        <w:t xml:space="preserve"> </w:t>
      </w:r>
      <w:r>
        <w:t>zgromadzonymi</w:t>
      </w:r>
      <w:r w:rsidR="00253AAB" w:rsidRPr="00253AAB">
        <w:t xml:space="preserve"> </w:t>
      </w:r>
      <w:r w:rsidR="00253AAB">
        <w:t>na polskiej stronie EURES</w:t>
      </w:r>
      <w:r>
        <w:t xml:space="preserve"> informacjami</w:t>
      </w:r>
      <w:r w:rsidR="00BF538B">
        <w:t xml:space="preserve"> o </w:t>
      </w:r>
      <w:r>
        <w:t xml:space="preserve">warunkach życia i pracy w poszczególnych krajach członkowskich.  </w:t>
      </w:r>
      <w:hyperlink r:id="rId7" w:history="1">
        <w:r w:rsidR="003C2AD5" w:rsidRPr="00AA791F">
          <w:rPr>
            <w:rStyle w:val="Hipercze"/>
            <w:rFonts w:asciiTheme="minorHAnsi" w:hAnsiTheme="minorHAnsi" w:cstheme="minorBidi"/>
            <w:sz w:val="22"/>
            <w:szCs w:val="22"/>
          </w:rPr>
          <w:t>https://eures.praca.gov.pl/szukasz-pracy-w-ue/jestes-obywatelem-polski/zycie-i-praca-w-krajach-ue-i-efta</w:t>
        </w:r>
      </w:hyperlink>
      <w:r w:rsidR="003C2AD5">
        <w:t xml:space="preserve"> </w:t>
      </w:r>
    </w:p>
    <w:p w:rsidR="00253AAB" w:rsidRDefault="00253AAB" w:rsidP="00BF538B">
      <w:pPr>
        <w:jc w:val="both"/>
      </w:pPr>
      <w:r>
        <w:lastRenderedPageBreak/>
        <w:t xml:space="preserve">Znajdziemy tutaj informacje </w:t>
      </w:r>
      <w:r w:rsidR="00BF538B">
        <w:t xml:space="preserve">m. in. </w:t>
      </w:r>
      <w:r>
        <w:t xml:space="preserve">na temat poszukiwania i podejmowania zatrudnienia, warunków życia i pracy, podatków, zabezpieczeń społecznych czy ubezpieczeń zdrowotnych. Opracowania te </w:t>
      </w:r>
      <w:r w:rsidR="00BF538B">
        <w:t>obejmują najważniejsze aspekty, które dotyczą podejmowania bezpiecznego zatrudnienia za granicą. Zapoznając się z informacjami przed wyjazdem możemy uniknąć przykrych niespodzianek, które mogłyby nas spotkać.</w:t>
      </w:r>
    </w:p>
    <w:p w:rsidR="00BF538B" w:rsidRDefault="00BF538B" w:rsidP="0077602A">
      <w:pPr>
        <w:jc w:val="both"/>
      </w:pPr>
      <w:r>
        <w:t>Gorąco zachęcamy do lektury „zanim wyjedziesz”</w:t>
      </w:r>
    </w:p>
    <w:p w:rsidR="00EE0615" w:rsidRPr="00BF538B" w:rsidRDefault="00AA33AD" w:rsidP="00BF538B">
      <w:pPr>
        <w:spacing w:after="0" w:line="240" w:lineRule="auto"/>
        <w:jc w:val="both"/>
      </w:pPr>
      <w:hyperlink r:id="rId8" w:history="1">
        <w:r w:rsidR="00BF538B">
          <w:rPr>
            <w:rStyle w:val="Hipercze"/>
          </w:rPr>
          <w:t>#Rights4AllSeans</w:t>
        </w:r>
      </w:hyperlink>
      <w:r w:rsidR="00BF538B">
        <w:t xml:space="preserve"> </w:t>
      </w:r>
      <w:hyperlink r:id="rId9" w:history="1">
        <w:r w:rsidR="005814FC">
          <w:rPr>
            <w:rStyle w:val="Hipercze"/>
          </w:rPr>
          <w:t>#EURES</w:t>
        </w:r>
        <w:bookmarkStart w:id="1" w:name="_GoBack"/>
        <w:bookmarkEnd w:id="1"/>
        <w:r w:rsidR="00BF538B">
          <w:rPr>
            <w:rStyle w:val="Hipercze"/>
          </w:rPr>
          <w:t>easonalWorks</w:t>
        </w:r>
      </w:hyperlink>
      <w:bookmarkEnd w:id="0"/>
    </w:p>
    <w:sectPr w:rsidR="00EE0615" w:rsidRPr="00BF53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3AD" w:rsidRDefault="00AA33AD" w:rsidP="00EE0615">
      <w:pPr>
        <w:spacing w:after="0" w:line="240" w:lineRule="auto"/>
      </w:pPr>
      <w:r>
        <w:separator/>
      </w:r>
    </w:p>
  </w:endnote>
  <w:endnote w:type="continuationSeparator" w:id="0">
    <w:p w:rsidR="00AA33AD" w:rsidRDefault="00AA33AD" w:rsidP="00EE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3AD" w:rsidRDefault="00AA33AD" w:rsidP="00EE0615">
      <w:pPr>
        <w:spacing w:after="0" w:line="240" w:lineRule="auto"/>
      </w:pPr>
      <w:r>
        <w:separator/>
      </w:r>
    </w:p>
  </w:footnote>
  <w:footnote w:type="continuationSeparator" w:id="0">
    <w:p w:rsidR="00AA33AD" w:rsidRDefault="00AA33AD" w:rsidP="00EE0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ADB"/>
    <w:multiLevelType w:val="hybridMultilevel"/>
    <w:tmpl w:val="2BAA6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770E2C"/>
    <w:multiLevelType w:val="hybridMultilevel"/>
    <w:tmpl w:val="2460BBDA"/>
    <w:lvl w:ilvl="0" w:tplc="31527406">
      <w:start w:val="1"/>
      <w:numFmt w:val="bullet"/>
      <w:lvlText w:val=""/>
      <w:lvlJc w:val="left"/>
      <w:pPr>
        <w:tabs>
          <w:tab w:val="num" w:pos="785"/>
        </w:tabs>
        <w:ind w:left="785" w:hanging="425"/>
      </w:pPr>
      <w:rPr>
        <w:rFonts w:ascii="Symbol" w:hAnsi="Symbol" w:hint="default"/>
        <w:sz w:val="20"/>
        <w:szCs w:val="20"/>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713542"/>
    <w:multiLevelType w:val="multilevel"/>
    <w:tmpl w:val="E2B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06CA"/>
    <w:multiLevelType w:val="multilevel"/>
    <w:tmpl w:val="30A0C2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345E33"/>
    <w:multiLevelType w:val="hybridMultilevel"/>
    <w:tmpl w:val="4860DB22"/>
    <w:lvl w:ilvl="0" w:tplc="14A2E18A">
      <w:start w:val="1"/>
      <w:numFmt w:val="bullet"/>
      <w:lvlText w:val="-"/>
      <w:lvlJc w:val="left"/>
      <w:pPr>
        <w:tabs>
          <w:tab w:val="num" w:pos="340"/>
        </w:tabs>
        <w:ind w:left="340" w:hanging="340"/>
      </w:pPr>
      <w:rPr>
        <w:rFonts w:ascii="Times New Roman" w:hAnsi="Times New Roman" w:hint="default"/>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B4DAF"/>
    <w:multiLevelType w:val="hybridMultilevel"/>
    <w:tmpl w:val="9FC85DE2"/>
    <w:lvl w:ilvl="0" w:tplc="09B4B4AA">
      <w:start w:val="1"/>
      <w:numFmt w:val="bullet"/>
      <w:lvlText w:val=""/>
      <w:lvlJc w:val="left"/>
      <w:pPr>
        <w:tabs>
          <w:tab w:val="num" w:pos="425"/>
        </w:tabs>
        <w:ind w:left="425" w:hanging="425"/>
      </w:pPr>
      <w:rPr>
        <w:rFonts w:ascii="Symbol" w:hAnsi="Symbol" w:hint="default"/>
        <w:sz w:val="20"/>
        <w:szCs w:val="20"/>
      </w:rPr>
    </w:lvl>
    <w:lvl w:ilvl="1" w:tplc="8F32E1A8">
      <w:start w:val="1"/>
      <w:numFmt w:val="bullet"/>
      <w:lvlText w:val="-"/>
      <w:lvlJc w:val="left"/>
      <w:pPr>
        <w:tabs>
          <w:tab w:val="num" w:pos="1418"/>
        </w:tabs>
        <w:ind w:left="1418" w:hanging="338"/>
      </w:pPr>
      <w:rPr>
        <w:rFonts w:ascii="Times New Roman" w:hAnsi="Times New Roman" w:hint="default"/>
        <w:b w:val="0"/>
        <w:i w:val="0"/>
        <w:sz w:val="24"/>
      </w:rPr>
    </w:lvl>
    <w:lvl w:ilvl="2" w:tplc="F3CA1356">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2C9B5F4E"/>
    <w:multiLevelType w:val="hybridMultilevel"/>
    <w:tmpl w:val="F25A2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04792C"/>
    <w:multiLevelType w:val="hybridMultilevel"/>
    <w:tmpl w:val="CFF4386E"/>
    <w:lvl w:ilvl="0" w:tplc="1ED88E6E">
      <w:start w:val="1"/>
      <w:numFmt w:val="bullet"/>
      <w:lvlText w:val=""/>
      <w:lvlJc w:val="left"/>
      <w:pPr>
        <w:tabs>
          <w:tab w:val="num" w:pos="425"/>
        </w:tabs>
        <w:ind w:left="425" w:hanging="425"/>
      </w:pPr>
      <w:rPr>
        <w:rFonts w:ascii="Symbol" w:hAnsi="Symbol"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B76D24"/>
    <w:multiLevelType w:val="hybridMultilevel"/>
    <w:tmpl w:val="7F765C32"/>
    <w:lvl w:ilvl="0" w:tplc="5DD8C0DA">
      <w:start w:val="1"/>
      <w:numFmt w:val="bullet"/>
      <w:lvlText w:val="-"/>
      <w:lvlJc w:val="left"/>
      <w:pPr>
        <w:tabs>
          <w:tab w:val="num" w:pos="284"/>
        </w:tabs>
        <w:ind w:left="284" w:hanging="284"/>
      </w:pPr>
      <w:rPr>
        <w:rFonts w:ascii="Times New Roman" w:hAnsi="Times New Roman" w:hint="default"/>
        <w:b w:val="0"/>
        <w:i w:val="0"/>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C55A84"/>
    <w:multiLevelType w:val="hybridMultilevel"/>
    <w:tmpl w:val="51FC965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F4C423E">
      <w:start w:val="1"/>
      <w:numFmt w:val="decimal"/>
      <w:lvlText w:val="%3."/>
      <w:lvlJc w:val="right"/>
      <w:pPr>
        <w:ind w:left="2160" w:hanging="180"/>
      </w:pPr>
      <w:rPr>
        <w:rFonts w:ascii="Times New Roman" w:eastAsiaTheme="majorEastAsia"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ED08A7"/>
    <w:multiLevelType w:val="hybridMultilevel"/>
    <w:tmpl w:val="B784B1EC"/>
    <w:lvl w:ilvl="0" w:tplc="1C16FB92">
      <w:start w:val="1"/>
      <w:numFmt w:val="bullet"/>
      <w:lvlText w:val=""/>
      <w:lvlJc w:val="left"/>
      <w:pPr>
        <w:tabs>
          <w:tab w:val="num" w:pos="785"/>
        </w:tabs>
        <w:ind w:left="785" w:hanging="425"/>
      </w:pPr>
      <w:rPr>
        <w:rFonts w:ascii="Symbol" w:hAnsi="Symbol" w:hint="default"/>
        <w:sz w:val="20"/>
        <w:szCs w:val="20"/>
      </w:rPr>
    </w:lvl>
    <w:lvl w:ilvl="1" w:tplc="8F32E1A8">
      <w:start w:val="1"/>
      <w:numFmt w:val="bullet"/>
      <w:lvlText w:val="-"/>
      <w:lvlJc w:val="left"/>
      <w:pPr>
        <w:tabs>
          <w:tab w:val="num" w:pos="1418"/>
        </w:tabs>
        <w:ind w:left="1418" w:hanging="338"/>
      </w:pPr>
      <w:rPr>
        <w:rFonts w:ascii="Times New Roman" w:hAnsi="Times New Roman" w:hint="default"/>
        <w:b w:val="0"/>
        <w:i w:val="0"/>
        <w:sz w:val="24"/>
      </w:rPr>
    </w:lvl>
    <w:lvl w:ilvl="2" w:tplc="F3CA1356">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4BEE2FF3"/>
    <w:multiLevelType w:val="multilevel"/>
    <w:tmpl w:val="88BE68B2"/>
    <w:lvl w:ilvl="0">
      <w:start w:val="1"/>
      <w:numFmt w:val="bullet"/>
      <w:lvlText w:val=""/>
      <w:lvlJc w:val="left"/>
      <w:pPr>
        <w:tabs>
          <w:tab w:val="num" w:pos="785"/>
        </w:tabs>
        <w:ind w:left="785" w:hanging="425"/>
      </w:pPr>
      <w:rPr>
        <w:rFonts w:ascii="Symbol" w:hAnsi="Symbol" w:hint="default"/>
        <w:b/>
        <w:i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3878AA"/>
    <w:multiLevelType w:val="hybridMultilevel"/>
    <w:tmpl w:val="EDE8A4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6157E6C"/>
    <w:multiLevelType w:val="hybridMultilevel"/>
    <w:tmpl w:val="AC745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B13328"/>
    <w:multiLevelType w:val="hybridMultilevel"/>
    <w:tmpl w:val="66C88A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4"/>
  </w:num>
  <w:num w:numId="4">
    <w:abstractNumId w:val="12"/>
  </w:num>
  <w:num w:numId="5">
    <w:abstractNumId w:val="11"/>
  </w:num>
  <w:num w:numId="6">
    <w:abstractNumId w:val="1"/>
  </w:num>
  <w:num w:numId="7">
    <w:abstractNumId w:val="8"/>
  </w:num>
  <w:num w:numId="8">
    <w:abstractNumId w:val="4"/>
  </w:num>
  <w:num w:numId="9">
    <w:abstractNumId w:val="10"/>
  </w:num>
  <w:num w:numId="10">
    <w:abstractNumId w:val="7"/>
  </w:num>
  <w:num w:numId="11">
    <w:abstractNumId w:val="5"/>
  </w:num>
  <w:num w:numId="12">
    <w:abstractNumId w:val="2"/>
  </w:num>
  <w:num w:numId="13">
    <w:abstractNumId w:val="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15"/>
    <w:rsid w:val="000123B8"/>
    <w:rsid w:val="00237A6D"/>
    <w:rsid w:val="00253AAB"/>
    <w:rsid w:val="003C2AD5"/>
    <w:rsid w:val="004B6040"/>
    <w:rsid w:val="00571BE0"/>
    <w:rsid w:val="005814FC"/>
    <w:rsid w:val="0077602A"/>
    <w:rsid w:val="008F37AD"/>
    <w:rsid w:val="00AA33AD"/>
    <w:rsid w:val="00BE3F18"/>
    <w:rsid w:val="00BF538B"/>
    <w:rsid w:val="00CC0CAB"/>
    <w:rsid w:val="00EE0615"/>
    <w:rsid w:val="00EE6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D4DA"/>
  <w15:chartTrackingRefBased/>
  <w15:docId w15:val="{DBB70C06-D68F-46AD-9FB6-15867371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0615"/>
    <w:pPr>
      <w:spacing w:after="200" w:line="276" w:lineRule="auto"/>
    </w:pPr>
  </w:style>
  <w:style w:type="paragraph" w:styleId="Nagwek1">
    <w:name w:val="heading 1"/>
    <w:basedOn w:val="Normalny"/>
    <w:next w:val="Normalny"/>
    <w:link w:val="Nagwek1Znak"/>
    <w:uiPriority w:val="9"/>
    <w:qFormat/>
    <w:rsid w:val="00EE06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link w:val="Nagwek2Znak"/>
    <w:uiPriority w:val="9"/>
    <w:qFormat/>
    <w:rsid w:val="00EE0615"/>
    <w:pPr>
      <w:spacing w:before="100" w:beforeAutospacing="1" w:after="100" w:afterAutospacing="1" w:line="240" w:lineRule="auto"/>
      <w:outlineLvl w:val="1"/>
    </w:pPr>
    <w:rPr>
      <w:rFonts w:ascii="Times New Roman" w:eastAsia="Times New Roman" w:hAnsi="Times New Roman" w:cs="Times New Roman"/>
      <w:b/>
      <w:bCs/>
      <w:sz w:val="28"/>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0615"/>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EE0615"/>
    <w:rPr>
      <w:rFonts w:ascii="Times New Roman" w:eastAsia="Times New Roman" w:hAnsi="Times New Roman" w:cs="Times New Roman"/>
      <w:b/>
      <w:bCs/>
      <w:sz w:val="28"/>
      <w:szCs w:val="36"/>
      <w:lang w:eastAsia="pl-PL"/>
    </w:rPr>
  </w:style>
  <w:style w:type="paragraph" w:styleId="Akapitzlist">
    <w:name w:val="List Paragraph"/>
    <w:basedOn w:val="Normalny"/>
    <w:uiPriority w:val="34"/>
    <w:qFormat/>
    <w:rsid w:val="00EE0615"/>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E0615"/>
    <w:pPr>
      <w:spacing w:after="0" w:line="240" w:lineRule="auto"/>
      <w:jc w:val="both"/>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E0615"/>
    <w:rPr>
      <w:b/>
      <w:bCs/>
    </w:rPr>
  </w:style>
  <w:style w:type="character" w:styleId="Hipercze">
    <w:name w:val="Hyperlink"/>
    <w:basedOn w:val="Domylnaczcionkaakapitu"/>
    <w:uiPriority w:val="99"/>
    <w:unhideWhenUsed/>
    <w:rsid w:val="00EE0615"/>
    <w:rPr>
      <w:rFonts w:ascii="Arial" w:hAnsi="Arial" w:cs="Arial" w:hint="default"/>
      <w:color w:val="BF0000"/>
      <w:sz w:val="20"/>
      <w:szCs w:val="20"/>
      <w:u w:val="single"/>
    </w:rPr>
  </w:style>
  <w:style w:type="paragraph" w:styleId="Tekstpodstawowy">
    <w:name w:val="Body Text"/>
    <w:basedOn w:val="Normalny"/>
    <w:link w:val="TekstpodstawowyZnak"/>
    <w:rsid w:val="00EE0615"/>
    <w:pPr>
      <w:spacing w:after="0" w:line="36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E0615"/>
    <w:rPr>
      <w:rFonts w:ascii="Times New Roman" w:eastAsia="Times New Roman" w:hAnsi="Times New Roman" w:cs="Times New Roman"/>
      <w:sz w:val="24"/>
      <w:szCs w:val="20"/>
      <w:lang w:eastAsia="pl-PL"/>
    </w:rPr>
  </w:style>
  <w:style w:type="paragraph" w:styleId="Bezodstpw">
    <w:name w:val="No Spacing"/>
    <w:uiPriority w:val="1"/>
    <w:qFormat/>
    <w:rsid w:val="00EE0615"/>
    <w:pPr>
      <w:spacing w:after="0" w:line="240" w:lineRule="auto"/>
    </w:pPr>
    <w:rPr>
      <w:rFonts w:ascii="Calibri" w:eastAsia="Times New Roman" w:hAnsi="Calibri" w:cs="Times New Roman"/>
      <w:lang w:eastAsia="pl-PL"/>
    </w:rPr>
  </w:style>
  <w:style w:type="paragraph" w:customStyle="1" w:styleId="Akapitzlist1">
    <w:name w:val="Akapit z listą1"/>
    <w:basedOn w:val="Normalny"/>
    <w:rsid w:val="00EE0615"/>
    <w:pPr>
      <w:spacing w:after="0" w:line="240" w:lineRule="auto"/>
      <w:ind w:left="720"/>
    </w:pPr>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EE06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E0615"/>
    <w:rPr>
      <w:sz w:val="20"/>
      <w:szCs w:val="20"/>
    </w:rPr>
  </w:style>
  <w:style w:type="character" w:styleId="Odwoanieprzypisudolnego">
    <w:name w:val="footnote reference"/>
    <w:basedOn w:val="Domylnaczcionkaakapitu"/>
    <w:uiPriority w:val="99"/>
    <w:semiHidden/>
    <w:unhideWhenUsed/>
    <w:rsid w:val="00EE0615"/>
    <w:rPr>
      <w:vertAlign w:val="superscript"/>
    </w:rPr>
  </w:style>
  <w:style w:type="paragraph" w:customStyle="1" w:styleId="Default">
    <w:name w:val="Default"/>
    <w:rsid w:val="00EE0615"/>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Domylnaczcionkaakapitu"/>
    <w:rsid w:val="004B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4217">
      <w:bodyDiv w:val="1"/>
      <w:marLeft w:val="0"/>
      <w:marRight w:val="0"/>
      <w:marTop w:val="0"/>
      <w:marBottom w:val="0"/>
      <w:divBdr>
        <w:top w:val="none" w:sz="0" w:space="0" w:color="auto"/>
        <w:left w:val="none" w:sz="0" w:space="0" w:color="auto"/>
        <w:bottom w:val="none" w:sz="0" w:space="0" w:color="auto"/>
        <w:right w:val="none" w:sz="0" w:space="0" w:color="auto"/>
      </w:divBdr>
      <w:divsChild>
        <w:div w:id="688527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rights4allseans?__eep__=6&amp;__cft__%5b0%5d=AZWoBHw_LLLedLM5phn6ISq1FOFcFcW-uHunjgywmMtbaS5S7uuy64A7e9p2g7XYTZFP3RqheaInxv6On_V4TwWmxEHgd4LDZz86TCeCahQ-jZr0Qec-aZTVm6zOx9RRqzAveKmYO46R5toPdNhuj9CbW0xV0YsqwTtMWlBe6wA7JP9Z5BWfM1BVI3gUBZbTqIg&amp;__tn__=*NK-R" TargetMode="External"/><Relationship Id="rId3" Type="http://schemas.openxmlformats.org/officeDocument/2006/relationships/settings" Target="settings.xml"/><Relationship Id="rId7" Type="http://schemas.openxmlformats.org/officeDocument/2006/relationships/hyperlink" Target="https://eures.praca.gov.pl/szukasz-pracy-w-ue/jestes-obywatelem-polski/zycie-i-praca-w-krajach-ue-i-ef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hashtag/euresseasonalworks?__eep__=6&amp;__cft__%5b0%5d=AZWoBHw_LLLedLM5phn6ISq1FOFcFcW-uHunjgywmMtbaS5S7uuy64A7e9p2g7XYTZFP3RqheaInxv6On_V4TwWmxEHgd4LDZz86TCeCahQ-jZr0Qec-aZTVm6zOx9RRqzAveKmYO46R5toPdNhuj9CbW0xV0YsqwTtMWlBe6wA7JP9Z5BWfM1BVI3gUBZbTqIg&amp;__tn__=*NK-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608</Words>
  <Characters>3649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Wos</dc:creator>
  <cp:keywords/>
  <dc:description/>
  <cp:lastModifiedBy>Anna Janduła</cp:lastModifiedBy>
  <cp:revision>5</cp:revision>
  <dcterms:created xsi:type="dcterms:W3CDTF">2021-07-16T06:52:00Z</dcterms:created>
  <dcterms:modified xsi:type="dcterms:W3CDTF">2021-07-22T06:22:00Z</dcterms:modified>
</cp:coreProperties>
</file>